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1933" w14:textId="77777777" w:rsidR="00A40A5A" w:rsidRDefault="00000000">
      <w:pPr>
        <w:pStyle w:val="Body"/>
        <w:jc w:val="center"/>
        <w:rPr>
          <w:rFonts w:ascii="Times New Roman" w:eastAsia="Times New Roman" w:hAnsi="Times New Roman" w:cs="Times New Roman"/>
          <w:b/>
          <w:bCs/>
          <w:sz w:val="32"/>
          <w:szCs w:val="32"/>
        </w:rPr>
      </w:pPr>
      <w:r>
        <w:rPr>
          <w:rFonts w:ascii="Times New Roman" w:hAnsi="Times New Roman"/>
          <w:b/>
          <w:bCs/>
          <w:sz w:val="32"/>
          <w:szCs w:val="32"/>
        </w:rPr>
        <w:t>Call for Papers</w:t>
      </w:r>
    </w:p>
    <w:p w14:paraId="3A33777E" w14:textId="77777777" w:rsidR="00A40A5A" w:rsidRDefault="00A40A5A">
      <w:pPr>
        <w:pStyle w:val="Body"/>
        <w:jc w:val="both"/>
        <w:rPr>
          <w:rFonts w:ascii="Times New Roman" w:eastAsia="Times New Roman" w:hAnsi="Times New Roman" w:cs="Times New Roman"/>
          <w:b/>
          <w:bCs/>
          <w:sz w:val="24"/>
          <w:szCs w:val="24"/>
        </w:rPr>
      </w:pPr>
    </w:p>
    <w:p w14:paraId="7383D06D" w14:textId="73B2CCC0" w:rsidR="00A71A42" w:rsidRDefault="00A71A42">
      <w:pPr>
        <w:pStyle w:val="Body"/>
        <w:jc w:val="center"/>
        <w:rPr>
          <w:rFonts w:ascii="Times New Roman" w:hAnsi="Times New Roman"/>
          <w:b/>
          <w:bCs/>
          <w:sz w:val="28"/>
          <w:szCs w:val="28"/>
        </w:rPr>
      </w:pPr>
      <w:r>
        <w:rPr>
          <w:rFonts w:ascii="Times New Roman" w:hAnsi="Times New Roman"/>
          <w:b/>
          <w:bCs/>
          <w:sz w:val="28"/>
          <w:szCs w:val="28"/>
        </w:rPr>
        <w:t xml:space="preserve">The 1st </w:t>
      </w:r>
      <w:r>
        <w:rPr>
          <w:rFonts w:ascii="Times New Roman" w:hAnsi="Times New Roman" w:hint="eastAsia"/>
          <w:b/>
          <w:bCs/>
          <w:sz w:val="28"/>
          <w:szCs w:val="28"/>
          <w:lang w:eastAsia="zh-CN"/>
        </w:rPr>
        <w:t>M</w:t>
      </w:r>
      <w:r>
        <w:rPr>
          <w:rFonts w:ascii="Times New Roman" w:hAnsi="Times New Roman"/>
          <w:b/>
          <w:bCs/>
          <w:sz w:val="28"/>
          <w:szCs w:val="28"/>
        </w:rPr>
        <w:t>IT Asia Real Estate Symposium</w:t>
      </w:r>
    </w:p>
    <w:p w14:paraId="637BFEED" w14:textId="2D65D464" w:rsidR="00A40A5A" w:rsidRPr="00A71A42" w:rsidRDefault="00000000">
      <w:pPr>
        <w:pStyle w:val="Body"/>
        <w:jc w:val="center"/>
        <w:rPr>
          <w:rFonts w:ascii="Times New Roman" w:eastAsia="Times New Roman" w:hAnsi="Times New Roman" w:cs="Times New Roman"/>
          <w:b/>
          <w:bCs/>
          <w:i/>
          <w:iCs/>
        </w:rPr>
      </w:pPr>
      <w:r w:rsidRPr="00A71A42">
        <w:rPr>
          <w:rFonts w:ascii="Times New Roman" w:hAnsi="Times New Roman"/>
          <w:b/>
          <w:bCs/>
          <w:i/>
          <w:iCs/>
        </w:rPr>
        <w:t>July 31 - August 1, 2023, Cambridge MA</w:t>
      </w:r>
    </w:p>
    <w:p w14:paraId="26EFC85B" w14:textId="77777777" w:rsidR="00A40A5A" w:rsidRPr="000E2368" w:rsidRDefault="00A40A5A">
      <w:pPr>
        <w:pStyle w:val="Body"/>
        <w:jc w:val="both"/>
        <w:rPr>
          <w:rFonts w:ascii="Times New Roman" w:eastAsia="Times New Roman" w:hAnsi="Times New Roman" w:cs="Times New Roman"/>
          <w:b/>
          <w:bCs/>
          <w:sz w:val="24"/>
          <w:szCs w:val="24"/>
        </w:rPr>
      </w:pPr>
    </w:p>
    <w:p w14:paraId="57E60101" w14:textId="68089F51"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The Massachusetts Institute of Technology launched the </w:t>
      </w:r>
      <w:hyperlink r:id="rId7" w:history="1">
        <w:r>
          <w:rPr>
            <w:rStyle w:val="Hyperlink0"/>
            <w:rFonts w:ascii="Times New Roman" w:hAnsi="Times New Roman"/>
            <w:sz w:val="24"/>
            <w:szCs w:val="24"/>
          </w:rPr>
          <w:t>Asia Real Estate Initiative (AREI)</w:t>
        </w:r>
      </w:hyperlink>
      <w:r>
        <w:rPr>
          <w:rFonts w:ascii="Times New Roman" w:hAnsi="Times New Roman"/>
          <w:sz w:val="24"/>
          <w:szCs w:val="24"/>
        </w:rPr>
        <w:t xml:space="preserve"> at the </w:t>
      </w:r>
      <w:hyperlink r:id="rId8" w:history="1">
        <w:r>
          <w:rPr>
            <w:rStyle w:val="Hyperlink0"/>
            <w:rFonts w:ascii="Times New Roman" w:hAnsi="Times New Roman"/>
            <w:sz w:val="24"/>
            <w:szCs w:val="24"/>
          </w:rPr>
          <w:t>MIT Center for Real Estate</w:t>
        </w:r>
      </w:hyperlink>
      <w:r>
        <w:rPr>
          <w:rFonts w:ascii="Times New Roman" w:hAnsi="Times New Roman"/>
          <w:sz w:val="24"/>
          <w:szCs w:val="24"/>
        </w:rPr>
        <w:t xml:space="preserve"> in 2022. As international travel restrictions have eased, the Center is hosting its first </w:t>
      </w:r>
      <w:r>
        <w:rPr>
          <w:rFonts w:ascii="Times New Roman" w:hAnsi="Times New Roman"/>
          <w:b/>
          <w:bCs/>
          <w:sz w:val="24"/>
          <w:szCs w:val="24"/>
        </w:rPr>
        <w:t>Asia Real Estate Symposium on MIT’s Campus from July 31 to August 1, 2023</w:t>
      </w:r>
      <w:r>
        <w:rPr>
          <w:rFonts w:ascii="Times New Roman" w:hAnsi="Times New Roman"/>
          <w:sz w:val="24"/>
          <w:szCs w:val="24"/>
        </w:rPr>
        <w:t>.</w:t>
      </w:r>
    </w:p>
    <w:p w14:paraId="2DC17B2D" w14:textId="77777777" w:rsidR="00A40A5A" w:rsidRPr="000E2368" w:rsidRDefault="00A40A5A">
      <w:pPr>
        <w:pStyle w:val="Body"/>
        <w:jc w:val="both"/>
        <w:rPr>
          <w:rFonts w:ascii="Times New Roman" w:eastAsia="Times New Roman" w:hAnsi="Times New Roman" w:cs="Times New Roman"/>
          <w:sz w:val="16"/>
          <w:szCs w:val="16"/>
        </w:rPr>
      </w:pPr>
    </w:p>
    <w:p w14:paraId="729F31D4" w14:textId="77777777"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The central theme of AREI is sustainable real estate and urban development in Asia, which has exhibited explosive urbanization. As real estate accounts for a substantial proportion of the world’s energy consumption and greenhouse gas emissions, sustainable development in Asia will benefit not only countries in the region, but global communities as well. AREI champions sustainable, innovative approaches to Asian real estate. It facilitates collaborations among scholars with backgrounds in economics, finance, urban planning, technology, among other disciplines. It promotes cross-border dialogue within Asia and across continents to create knowledge towards sustainability and urban economic vibrancy.</w:t>
      </w:r>
    </w:p>
    <w:p w14:paraId="604792F7" w14:textId="77777777" w:rsidR="00A40A5A" w:rsidRPr="000E2368" w:rsidRDefault="00A40A5A">
      <w:pPr>
        <w:pStyle w:val="Body"/>
        <w:jc w:val="both"/>
        <w:rPr>
          <w:rFonts w:ascii="Times New Roman" w:eastAsia="Times New Roman" w:hAnsi="Times New Roman" w:cs="Times New Roman"/>
          <w:sz w:val="16"/>
          <w:szCs w:val="16"/>
        </w:rPr>
      </w:pPr>
    </w:p>
    <w:p w14:paraId="34DDFECC" w14:textId="65EB3569" w:rsidR="00A40A5A" w:rsidRDefault="00000000">
      <w:pPr>
        <w:pStyle w:val="Body"/>
        <w:jc w:val="both"/>
        <w:rPr>
          <w:rFonts w:ascii="Times New Roman" w:hAnsi="Times New Roman"/>
          <w:sz w:val="24"/>
          <w:szCs w:val="24"/>
        </w:rPr>
      </w:pPr>
      <w:r>
        <w:rPr>
          <w:rFonts w:ascii="Times New Roman" w:hAnsi="Times New Roman"/>
          <w:sz w:val="24"/>
          <w:szCs w:val="24"/>
        </w:rPr>
        <w:t xml:space="preserve">The 2023 </w:t>
      </w:r>
      <w:r w:rsidR="00A71A42">
        <w:rPr>
          <w:rFonts w:ascii="Times New Roman" w:hAnsi="Times New Roman"/>
          <w:sz w:val="24"/>
          <w:szCs w:val="24"/>
        </w:rPr>
        <w:t xml:space="preserve">MIT </w:t>
      </w:r>
      <w:r>
        <w:rPr>
          <w:rFonts w:ascii="Times New Roman" w:hAnsi="Times New Roman"/>
          <w:sz w:val="24"/>
          <w:szCs w:val="24"/>
        </w:rPr>
        <w:t>Asia Real Estate Symposium will advance research by engaging scholars on a global level. Submitted studies shall emphasize an Asian context, and selected papers are encouraged to focus on the following, non-exhaustive list of areas:</w:t>
      </w:r>
    </w:p>
    <w:p w14:paraId="4EA8E6C2" w14:textId="5EF76085" w:rsidR="002931C6" w:rsidRDefault="008C2153" w:rsidP="002931C6">
      <w:pPr>
        <w:pStyle w:val="Body"/>
        <w:numPr>
          <w:ilvl w:val="0"/>
          <w:numId w:val="3"/>
        </w:numPr>
        <w:jc w:val="both"/>
        <w:rPr>
          <w:rFonts w:ascii="Times New Roman" w:hAnsi="Times New Roman"/>
          <w:sz w:val="24"/>
          <w:szCs w:val="24"/>
        </w:rPr>
      </w:pPr>
      <w:r>
        <w:rPr>
          <w:rFonts w:ascii="Times New Roman" w:hAnsi="Times New Roman"/>
          <w:sz w:val="24"/>
          <w:szCs w:val="24"/>
        </w:rPr>
        <w:t xml:space="preserve">The future of </w:t>
      </w:r>
      <w:r w:rsidR="002931C6">
        <w:rPr>
          <w:rFonts w:ascii="Times New Roman" w:hAnsi="Times New Roman"/>
          <w:sz w:val="24"/>
          <w:szCs w:val="24"/>
        </w:rPr>
        <w:t>live-work-play dynamics</w:t>
      </w:r>
      <w:r>
        <w:rPr>
          <w:rFonts w:ascii="Times New Roman" w:hAnsi="Times New Roman"/>
          <w:sz w:val="24"/>
          <w:szCs w:val="24"/>
        </w:rPr>
        <w:t xml:space="preserve"> and real estate</w:t>
      </w:r>
      <w:r w:rsidR="002931C6">
        <w:rPr>
          <w:rFonts w:ascii="Times New Roman" w:hAnsi="Times New Roman"/>
          <w:sz w:val="24"/>
          <w:szCs w:val="24"/>
        </w:rPr>
        <w:t>.</w:t>
      </w:r>
    </w:p>
    <w:p w14:paraId="43C004D4" w14:textId="3051B317" w:rsidR="002931C6" w:rsidRDefault="002931C6" w:rsidP="002931C6">
      <w:pPr>
        <w:pStyle w:val="Body"/>
        <w:numPr>
          <w:ilvl w:val="0"/>
          <w:numId w:val="3"/>
        </w:numPr>
        <w:jc w:val="both"/>
        <w:rPr>
          <w:rFonts w:ascii="Times New Roman" w:hAnsi="Times New Roman"/>
          <w:sz w:val="24"/>
          <w:szCs w:val="24"/>
        </w:rPr>
      </w:pPr>
      <w:r>
        <w:rPr>
          <w:rFonts w:ascii="Times New Roman" w:hAnsi="Times New Roman"/>
          <w:sz w:val="24"/>
          <w:szCs w:val="24"/>
        </w:rPr>
        <w:t>Integration of technology in real estate that enhances sustainability.</w:t>
      </w:r>
    </w:p>
    <w:p w14:paraId="0206B29D" w14:textId="49504CAD" w:rsidR="002931C6" w:rsidRDefault="002931C6" w:rsidP="002931C6">
      <w:pPr>
        <w:pStyle w:val="Body"/>
        <w:numPr>
          <w:ilvl w:val="0"/>
          <w:numId w:val="3"/>
        </w:numPr>
        <w:jc w:val="both"/>
        <w:rPr>
          <w:rFonts w:ascii="Times New Roman" w:hAnsi="Times New Roman"/>
          <w:sz w:val="24"/>
          <w:szCs w:val="24"/>
        </w:rPr>
      </w:pPr>
      <w:r>
        <w:rPr>
          <w:rFonts w:ascii="Times New Roman" w:hAnsi="Times New Roman"/>
          <w:sz w:val="24"/>
          <w:szCs w:val="24"/>
        </w:rPr>
        <w:t>Innovative real estate finance and business having implications for sustainability.</w:t>
      </w:r>
    </w:p>
    <w:p w14:paraId="45B1CCA5" w14:textId="5104A9EF" w:rsidR="002931C6" w:rsidRDefault="002931C6" w:rsidP="002931C6">
      <w:pPr>
        <w:pStyle w:val="Body"/>
        <w:numPr>
          <w:ilvl w:val="0"/>
          <w:numId w:val="3"/>
        </w:numPr>
        <w:jc w:val="both"/>
        <w:rPr>
          <w:rFonts w:ascii="Times New Roman" w:hAnsi="Times New Roman"/>
          <w:sz w:val="24"/>
          <w:szCs w:val="24"/>
        </w:rPr>
      </w:pPr>
      <w:r>
        <w:rPr>
          <w:rFonts w:ascii="Times New Roman" w:hAnsi="Times New Roman"/>
          <w:sz w:val="24"/>
          <w:szCs w:val="24"/>
        </w:rPr>
        <w:t>Valuation of sustainable real estate.</w:t>
      </w:r>
    </w:p>
    <w:p w14:paraId="1F121563" w14:textId="3815C5F1" w:rsidR="002931C6" w:rsidRPr="002931C6" w:rsidRDefault="002931C6" w:rsidP="002931C6">
      <w:pPr>
        <w:pStyle w:val="Body"/>
        <w:numPr>
          <w:ilvl w:val="0"/>
          <w:numId w:val="3"/>
        </w:numPr>
        <w:jc w:val="both"/>
        <w:rPr>
          <w:rFonts w:ascii="Times New Roman" w:hAnsi="Times New Roman"/>
          <w:sz w:val="24"/>
          <w:szCs w:val="24"/>
        </w:rPr>
      </w:pPr>
      <w:r>
        <w:rPr>
          <w:rFonts w:ascii="Times New Roman" w:hAnsi="Times New Roman"/>
          <w:sz w:val="24"/>
          <w:szCs w:val="24"/>
        </w:rPr>
        <w:t>Public policy on real estate having implications on sustainability.</w:t>
      </w:r>
    </w:p>
    <w:p w14:paraId="53A2D541" w14:textId="77777777" w:rsidR="00A40A5A" w:rsidRPr="000E2368" w:rsidRDefault="00A40A5A">
      <w:pPr>
        <w:pStyle w:val="Body"/>
        <w:jc w:val="both"/>
        <w:rPr>
          <w:rFonts w:ascii="Times New Roman" w:eastAsia="Times New Roman" w:hAnsi="Times New Roman" w:cs="Times New Roman"/>
          <w:sz w:val="16"/>
          <w:szCs w:val="16"/>
        </w:rPr>
      </w:pPr>
    </w:p>
    <w:p w14:paraId="28DC0A70" w14:textId="77777777"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Ten to twelve papers will be selected for the academic program that spans one and a half days. Authors of the papers presented at the symposium will be invited to submit revised papers to a planned </w:t>
      </w:r>
      <w:r>
        <w:rPr>
          <w:rFonts w:ascii="Times New Roman" w:hAnsi="Times New Roman"/>
          <w:b/>
          <w:bCs/>
          <w:sz w:val="24"/>
          <w:szCs w:val="24"/>
        </w:rPr>
        <w:t xml:space="preserve">special issue of the </w:t>
      </w:r>
      <w:hyperlink r:id="rId9" w:history="1">
        <w:r>
          <w:rPr>
            <w:rStyle w:val="Hyperlink1"/>
            <w:rFonts w:ascii="Times New Roman" w:hAnsi="Times New Roman"/>
            <w:sz w:val="24"/>
            <w:szCs w:val="24"/>
          </w:rPr>
          <w:t>Journal of Real Estate Research</w:t>
        </w:r>
      </w:hyperlink>
      <w:r>
        <w:rPr>
          <w:rFonts w:ascii="Times New Roman" w:hAnsi="Times New Roman"/>
          <w:i/>
          <w:iCs/>
          <w:sz w:val="24"/>
          <w:szCs w:val="24"/>
        </w:rPr>
        <w:t>.</w:t>
      </w:r>
      <w:r>
        <w:rPr>
          <w:rFonts w:ascii="Times New Roman" w:hAnsi="Times New Roman"/>
          <w:sz w:val="24"/>
          <w:szCs w:val="24"/>
        </w:rPr>
        <w:t xml:space="preserve"> The normal peer-review procedure applies.</w:t>
      </w:r>
    </w:p>
    <w:p w14:paraId="1C892CC7" w14:textId="77777777" w:rsidR="00A40A5A" w:rsidRPr="000E2368" w:rsidRDefault="00A40A5A">
      <w:pPr>
        <w:pStyle w:val="Body"/>
        <w:jc w:val="both"/>
        <w:rPr>
          <w:rFonts w:ascii="Times New Roman" w:eastAsia="Times New Roman" w:hAnsi="Times New Roman" w:cs="Times New Roman"/>
          <w:sz w:val="16"/>
          <w:szCs w:val="16"/>
        </w:rPr>
      </w:pPr>
    </w:p>
    <w:p w14:paraId="558789B6" w14:textId="77777777"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MIT Center for Real Estate will sponsor two nights of hotel accommodation for presenters and discussants. If a visa to travel to the United States is required, the participant is responsible for the visa application. The Center will provide an invitation letter.</w:t>
      </w:r>
    </w:p>
    <w:p w14:paraId="4BBAE688" w14:textId="77777777" w:rsidR="00A40A5A" w:rsidRPr="000E2368" w:rsidRDefault="00A40A5A">
      <w:pPr>
        <w:pStyle w:val="Body"/>
        <w:jc w:val="both"/>
        <w:rPr>
          <w:rFonts w:ascii="Times New Roman" w:eastAsia="Times New Roman" w:hAnsi="Times New Roman" w:cs="Times New Roman"/>
          <w:sz w:val="16"/>
          <w:szCs w:val="16"/>
        </w:rPr>
      </w:pPr>
    </w:p>
    <w:p w14:paraId="5C2AB9F5" w14:textId="77777777"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b/>
          <w:bCs/>
          <w:sz w:val="24"/>
          <w:szCs w:val="24"/>
        </w:rPr>
        <w:t xml:space="preserve">paper submission portal </w:t>
      </w:r>
      <w:r>
        <w:rPr>
          <w:rFonts w:ascii="Times New Roman" w:hAnsi="Times New Roman"/>
          <w:sz w:val="24"/>
          <w:szCs w:val="24"/>
        </w:rPr>
        <w:t xml:space="preserve">is available via this </w:t>
      </w:r>
      <w:hyperlink r:id="rId10" w:history="1">
        <w:r>
          <w:rPr>
            <w:rStyle w:val="Hyperlink2"/>
            <w:rFonts w:ascii="Times New Roman" w:hAnsi="Times New Roman"/>
            <w:sz w:val="24"/>
            <w:szCs w:val="24"/>
          </w:rPr>
          <w:t>LINK</w:t>
        </w:r>
      </w:hyperlink>
      <w:r>
        <w:rPr>
          <w:rFonts w:ascii="Times New Roman" w:hAnsi="Times New Roman"/>
          <w:sz w:val="24"/>
          <w:szCs w:val="24"/>
        </w:rPr>
        <w:t>. A completed paper is required for the submission.</w:t>
      </w:r>
      <w:r>
        <w:rPr>
          <w:rFonts w:ascii="Times New Roman" w:hAnsi="Times New Roman"/>
          <w:b/>
          <w:bCs/>
          <w:sz w:val="24"/>
          <w:szCs w:val="24"/>
        </w:rPr>
        <w:t xml:space="preserve"> </w:t>
      </w:r>
      <w:r>
        <w:rPr>
          <w:rFonts w:ascii="Times New Roman" w:hAnsi="Times New Roman"/>
          <w:sz w:val="24"/>
          <w:szCs w:val="24"/>
        </w:rPr>
        <w:t xml:space="preserve">The </w:t>
      </w:r>
      <w:r>
        <w:rPr>
          <w:rFonts w:ascii="Times New Roman" w:hAnsi="Times New Roman"/>
          <w:b/>
          <w:bCs/>
          <w:sz w:val="24"/>
          <w:szCs w:val="24"/>
        </w:rPr>
        <w:t xml:space="preserve">submission deadline </w:t>
      </w:r>
      <w:r>
        <w:rPr>
          <w:rFonts w:ascii="Times New Roman" w:hAnsi="Times New Roman"/>
          <w:sz w:val="24"/>
          <w:szCs w:val="24"/>
        </w:rPr>
        <w:t xml:space="preserve">is May 8, 2023. Submitting authors will be notified of results by May 19. Accepted papers will be sent to discussants the following week. </w:t>
      </w:r>
    </w:p>
    <w:p w14:paraId="6E2CE1F0" w14:textId="77777777" w:rsidR="00A40A5A" w:rsidRPr="000E2368" w:rsidRDefault="00A40A5A">
      <w:pPr>
        <w:pStyle w:val="Body"/>
        <w:jc w:val="both"/>
        <w:rPr>
          <w:rFonts w:ascii="Times New Roman" w:eastAsia="Times New Roman" w:hAnsi="Times New Roman" w:cs="Times New Roman"/>
          <w:sz w:val="16"/>
          <w:szCs w:val="16"/>
        </w:rPr>
      </w:pPr>
    </w:p>
    <w:p w14:paraId="4AE4B0A5" w14:textId="77777777"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Conference Organization Committee:</w:t>
      </w:r>
    </w:p>
    <w:p w14:paraId="4259788B" w14:textId="77777777"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Siqi Zheng, Massachusetts Institute of Technology </w:t>
      </w:r>
    </w:p>
    <w:p w14:paraId="49454140" w14:textId="02068EAE" w:rsidR="008C2153" w:rsidRDefault="00000000" w:rsidP="008C2153">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Wen-Chi Liao, National University of Singapore</w:t>
      </w:r>
      <w:r w:rsidR="008C2153">
        <w:rPr>
          <w:rFonts w:ascii="Times New Roman" w:hAnsi="Times New Roman"/>
          <w:sz w:val="24"/>
          <w:szCs w:val="24"/>
        </w:rPr>
        <w:t xml:space="preserve"> &amp; Massachusetts Institute of Technology </w:t>
      </w:r>
    </w:p>
    <w:p w14:paraId="215DA14F" w14:textId="77777777"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Sahil Gandhi, University of Manchester</w:t>
      </w:r>
    </w:p>
    <w:p w14:paraId="2002102B" w14:textId="42DB91CE" w:rsidR="00A40A5A" w:rsidRDefault="00000000">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William G. Hardin, Florida International University</w:t>
      </w:r>
      <w:r w:rsidR="008C2153">
        <w:rPr>
          <w:rFonts w:ascii="Times New Roman" w:hAnsi="Times New Roman"/>
          <w:sz w:val="24"/>
          <w:szCs w:val="24"/>
        </w:rPr>
        <w:t xml:space="preserve"> &amp; Co-Editor of </w:t>
      </w:r>
      <w:r w:rsidR="008C2153" w:rsidRPr="008C2153">
        <w:rPr>
          <w:rFonts w:ascii="Times New Roman" w:hAnsi="Times New Roman"/>
          <w:i/>
          <w:iCs/>
          <w:sz w:val="24"/>
          <w:szCs w:val="24"/>
        </w:rPr>
        <w:t>Journal of Real Estate Research</w:t>
      </w:r>
      <w:r>
        <w:rPr>
          <w:rFonts w:ascii="Times New Roman" w:hAnsi="Times New Roman"/>
          <w:sz w:val="24"/>
          <w:szCs w:val="24"/>
        </w:rPr>
        <w:t xml:space="preserve"> </w:t>
      </w:r>
    </w:p>
    <w:p w14:paraId="0A330B81" w14:textId="76F1D68A" w:rsidR="00A40A5A" w:rsidRDefault="00000000">
      <w:pPr>
        <w:pStyle w:val="Body"/>
        <w:jc w:val="both"/>
        <w:rPr>
          <w:rFonts w:ascii="Times New Roman" w:hAnsi="Times New Roman"/>
          <w:i/>
          <w:iCs/>
          <w:sz w:val="24"/>
          <w:szCs w:val="24"/>
        </w:rPr>
      </w:pPr>
      <w:r>
        <w:rPr>
          <w:rFonts w:ascii="Times New Roman" w:hAnsi="Times New Roman"/>
          <w:sz w:val="24"/>
          <w:szCs w:val="24"/>
        </w:rPr>
        <w:t xml:space="preserve">  Michael J. Seiler, College of William &amp; Mary</w:t>
      </w:r>
      <w:r w:rsidR="008C2153">
        <w:rPr>
          <w:rFonts w:ascii="Times New Roman" w:hAnsi="Times New Roman"/>
          <w:sz w:val="24"/>
          <w:szCs w:val="24"/>
        </w:rPr>
        <w:t xml:space="preserve"> &amp; Co-Editor of </w:t>
      </w:r>
      <w:r w:rsidR="008C2153" w:rsidRPr="008C2153">
        <w:rPr>
          <w:rFonts w:ascii="Times New Roman" w:hAnsi="Times New Roman"/>
          <w:i/>
          <w:iCs/>
          <w:sz w:val="24"/>
          <w:szCs w:val="24"/>
        </w:rPr>
        <w:t>Journal of Real Estate Research</w:t>
      </w:r>
    </w:p>
    <w:p w14:paraId="36C06CEF" w14:textId="2234116C" w:rsidR="007F614B" w:rsidRDefault="007F614B">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Karenina Juarez, Events Associate, MIT Center for Real Estate</w:t>
      </w:r>
    </w:p>
    <w:p w14:paraId="634D0B15" w14:textId="77777777" w:rsidR="00A40A5A" w:rsidRPr="000E2368" w:rsidRDefault="00A40A5A">
      <w:pPr>
        <w:pStyle w:val="Body"/>
        <w:jc w:val="both"/>
        <w:rPr>
          <w:rFonts w:ascii="Times New Roman" w:eastAsia="Times New Roman" w:hAnsi="Times New Roman" w:cs="Times New Roman"/>
          <w:sz w:val="16"/>
          <w:szCs w:val="16"/>
        </w:rPr>
      </w:pPr>
    </w:p>
    <w:p w14:paraId="50BE1CE5" w14:textId="428D25D0" w:rsidR="007F614B" w:rsidRDefault="00000000">
      <w:pPr>
        <w:pStyle w:val="Body"/>
        <w:jc w:val="both"/>
      </w:pPr>
      <w:r>
        <w:rPr>
          <w:rFonts w:ascii="Times New Roman" w:hAnsi="Times New Roman"/>
          <w:sz w:val="24"/>
          <w:szCs w:val="24"/>
        </w:rPr>
        <w:t xml:space="preserve">General information about the symposium can be found on the MIT Center for Real Estate </w:t>
      </w:r>
      <w:hyperlink r:id="rId11" w:history="1">
        <w:r>
          <w:rPr>
            <w:rStyle w:val="Hyperlink0"/>
            <w:rFonts w:ascii="Times New Roman" w:hAnsi="Times New Roman"/>
            <w:sz w:val="24"/>
            <w:szCs w:val="24"/>
          </w:rPr>
          <w:t>website</w:t>
        </w:r>
      </w:hyperlink>
      <w:r>
        <w:rPr>
          <w:rFonts w:ascii="Times New Roman" w:hAnsi="Times New Roman"/>
          <w:sz w:val="24"/>
          <w:szCs w:val="24"/>
        </w:rPr>
        <w:t xml:space="preserve">. For issues relating to the paper submission or inquiries regarding the symposium’s academic program, please email </w:t>
      </w:r>
      <w:hyperlink r:id="rId12" w:history="1">
        <w:r>
          <w:rPr>
            <w:rStyle w:val="Hyperlink0"/>
            <w:rFonts w:ascii="Times New Roman" w:hAnsi="Times New Roman"/>
            <w:sz w:val="24"/>
            <w:szCs w:val="24"/>
          </w:rPr>
          <w:t>wcliao@mit.edu</w:t>
        </w:r>
      </w:hyperlink>
      <w:r>
        <w:rPr>
          <w:rFonts w:ascii="Times New Roman" w:hAnsi="Times New Roman"/>
          <w:sz w:val="24"/>
          <w:szCs w:val="24"/>
        </w:rPr>
        <w:t xml:space="preserve"> to contact Wen-Chi Liao, Visiting Associate Professor, MIT Center for Real Estate</w:t>
      </w:r>
      <w:r w:rsidR="002931C6">
        <w:rPr>
          <w:rFonts w:ascii="Times New Roman" w:hAnsi="Times New Roman"/>
          <w:sz w:val="24"/>
          <w:szCs w:val="24"/>
        </w:rPr>
        <w:t>, and</w:t>
      </w:r>
      <w:r>
        <w:rPr>
          <w:rFonts w:ascii="Times New Roman" w:hAnsi="Times New Roman"/>
          <w:sz w:val="24"/>
          <w:szCs w:val="24"/>
        </w:rPr>
        <w:t xml:space="preserve"> Associate Professor of Real Estate, NUS Business School.</w:t>
      </w:r>
    </w:p>
    <w:sectPr w:rsidR="007F614B" w:rsidSect="000E2368">
      <w:headerReference w:type="default" r:id="rId13"/>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1F79" w14:textId="77777777" w:rsidR="00260EAD" w:rsidRDefault="00260EAD">
      <w:r>
        <w:separator/>
      </w:r>
    </w:p>
  </w:endnote>
  <w:endnote w:type="continuationSeparator" w:id="0">
    <w:p w14:paraId="54EDE6AD" w14:textId="77777777" w:rsidR="00260EAD" w:rsidRDefault="002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rial"/>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768B" w14:textId="77777777" w:rsidR="00260EAD" w:rsidRDefault="00260EAD">
      <w:r>
        <w:separator/>
      </w:r>
    </w:p>
  </w:footnote>
  <w:footnote w:type="continuationSeparator" w:id="0">
    <w:p w14:paraId="56B23FFD" w14:textId="77777777" w:rsidR="00260EAD" w:rsidRDefault="002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9" w:type="dxa"/>
      <w:tblLayout w:type="fixed"/>
      <w:tblLook w:val="0000" w:firstRow="0" w:lastRow="0" w:firstColumn="0" w:lastColumn="0" w:noHBand="0" w:noVBand="0"/>
    </w:tblPr>
    <w:tblGrid>
      <w:gridCol w:w="4181"/>
      <w:gridCol w:w="1911"/>
      <w:gridCol w:w="4157"/>
    </w:tblGrid>
    <w:tr w:rsidR="003F398A" w14:paraId="6E7EEDF2" w14:textId="77777777" w:rsidTr="000E2368">
      <w:trPr>
        <w:trHeight w:val="460"/>
      </w:trPr>
      <w:tc>
        <w:tcPr>
          <w:tcW w:w="4181" w:type="dxa"/>
          <w:vMerge w:val="restart"/>
        </w:tcPr>
        <w:p w14:paraId="4EBF070E" w14:textId="1A110548" w:rsidR="003F398A" w:rsidRDefault="003F398A" w:rsidP="003F398A">
          <w:pPr>
            <w:pStyle w:val="75blkA20192"/>
            <w:rPr>
              <w:rFonts w:ascii="Arial" w:hAnsi="Arial"/>
              <w:color w:val="000000"/>
              <w:kern w:val="6"/>
            </w:rPr>
          </w:pPr>
          <w:r>
            <w:rPr>
              <w:kern w:val="6"/>
            </w:rPr>
            <w:t>Center for Real Estate</w:t>
          </w:r>
        </w:p>
        <w:p w14:paraId="4C19C871" w14:textId="6C82FB23" w:rsidR="003F398A" w:rsidRPr="003F398A" w:rsidRDefault="003F398A" w:rsidP="003F398A">
          <w:pPr>
            <w:pStyle w:val="Header"/>
            <w:rPr>
              <w:rFonts w:ascii="Arial" w:hAnsi="Arial" w:cs="Arial"/>
              <w:kern w:val="6"/>
              <w:sz w:val="15"/>
              <w:szCs w:val="15"/>
            </w:rPr>
          </w:pPr>
          <w:r>
            <w:rPr>
              <w:rStyle w:val="Strong"/>
              <w:rFonts w:ascii="Arial" w:hAnsi="Arial" w:cs="Arial"/>
              <w:b w:val="0"/>
              <w:bCs w:val="0"/>
              <w:color w:val="323232"/>
              <w:sz w:val="15"/>
              <w:szCs w:val="15"/>
            </w:rPr>
            <w:t>Phone</w:t>
          </w:r>
          <w:r w:rsidRPr="003F398A">
            <w:rPr>
              <w:rStyle w:val="Strong"/>
              <w:rFonts w:ascii="Arial" w:hAnsi="Arial" w:cs="Arial"/>
              <w:color w:val="323232"/>
              <w:sz w:val="15"/>
              <w:szCs w:val="15"/>
            </w:rPr>
            <w:t>:</w:t>
          </w:r>
          <w:r w:rsidRPr="003F398A">
            <w:rPr>
              <w:rStyle w:val="apple-converted-space"/>
              <w:rFonts w:ascii="Arial" w:hAnsi="Arial" w:cs="Arial"/>
              <w:color w:val="323232"/>
              <w:sz w:val="15"/>
              <w:szCs w:val="15"/>
              <w:shd w:val="clear" w:color="auto" w:fill="FFFFFF"/>
            </w:rPr>
            <w:t> </w:t>
          </w:r>
          <w:r w:rsidRPr="003F398A">
            <w:rPr>
              <w:rFonts w:ascii="Arial" w:hAnsi="Arial" w:cs="Arial"/>
              <w:color w:val="323232"/>
              <w:sz w:val="15"/>
              <w:szCs w:val="15"/>
              <w:shd w:val="clear" w:color="auto" w:fill="FFFFFF"/>
            </w:rPr>
            <w:t>617-253-4373</w:t>
          </w:r>
          <w:r w:rsidRPr="003F398A">
            <w:rPr>
              <w:rFonts w:ascii="Arial" w:hAnsi="Arial" w:cs="Arial"/>
              <w:color w:val="323232"/>
              <w:sz w:val="15"/>
              <w:szCs w:val="15"/>
            </w:rPr>
            <w:br/>
          </w:r>
          <w:r>
            <w:rPr>
              <w:rStyle w:val="Strong"/>
              <w:rFonts w:ascii="Arial" w:hAnsi="Arial" w:cs="Arial"/>
              <w:b w:val="0"/>
              <w:bCs w:val="0"/>
              <w:color w:val="323232"/>
              <w:sz w:val="15"/>
              <w:szCs w:val="15"/>
            </w:rPr>
            <w:t>Fax</w:t>
          </w:r>
          <w:r w:rsidRPr="003F398A">
            <w:rPr>
              <w:rStyle w:val="Strong"/>
              <w:rFonts w:ascii="Arial" w:hAnsi="Arial" w:cs="Arial"/>
              <w:color w:val="323232"/>
              <w:sz w:val="15"/>
              <w:szCs w:val="15"/>
            </w:rPr>
            <w:t>:</w:t>
          </w:r>
          <w:r w:rsidRPr="003F398A">
            <w:rPr>
              <w:rStyle w:val="apple-converted-space"/>
              <w:rFonts w:ascii="Arial" w:hAnsi="Arial" w:cs="Arial"/>
              <w:color w:val="323232"/>
              <w:sz w:val="15"/>
              <w:szCs w:val="15"/>
            </w:rPr>
            <w:t> </w:t>
          </w:r>
          <w:r w:rsidRPr="003F398A">
            <w:rPr>
              <w:rFonts w:ascii="Arial" w:hAnsi="Arial" w:cs="Arial"/>
              <w:color w:val="323232"/>
              <w:sz w:val="15"/>
              <w:szCs w:val="15"/>
              <w:shd w:val="clear" w:color="auto" w:fill="FFFFFF"/>
            </w:rPr>
            <w:t>617-258-6991</w:t>
          </w:r>
        </w:p>
        <w:p w14:paraId="6CCB40F8" w14:textId="56F9CAAC" w:rsidR="003F398A" w:rsidRPr="003F398A" w:rsidRDefault="000E2368" w:rsidP="003F398A">
          <w:pPr>
            <w:pStyle w:val="Header"/>
            <w:rPr>
              <w:rFonts w:ascii="Arial" w:hAnsi="Arial" w:cs="Arial"/>
              <w:kern w:val="6"/>
              <w:sz w:val="15"/>
              <w:szCs w:val="15"/>
            </w:rPr>
          </w:pPr>
          <w:r>
            <w:rPr>
              <w:rFonts w:ascii="Arial Black" w:hAnsi="Arial Black"/>
              <w:noProof/>
              <w:color w:val="800000"/>
              <w:kern w:val="6"/>
              <w:sz w:val="15"/>
            </w:rPr>
            <mc:AlternateContent>
              <mc:Choice Requires="wps">
                <w:drawing>
                  <wp:anchor distT="0" distB="0" distL="114300" distR="114300" simplePos="0" relativeHeight="251659264" behindDoc="0" locked="0" layoutInCell="0" allowOverlap="1" wp14:anchorId="2CBF9E95" wp14:editId="45CA2CBD">
                    <wp:simplePos x="0" y="0"/>
                    <wp:positionH relativeFrom="page">
                      <wp:posOffset>-104775</wp:posOffset>
                    </wp:positionH>
                    <wp:positionV relativeFrom="page">
                      <wp:posOffset>456565</wp:posOffset>
                    </wp:positionV>
                    <wp:extent cx="6400800" cy="0"/>
                    <wp:effectExtent l="12700" t="18415" r="25400" b="196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240">
                              <a:solidFill>
                                <a:srgbClr val="A3263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6E9F6"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pt,35.95pt" to="495.75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" o:allowincell="f" strokecolor="#a32638" strokeweight="1.2pt">
                    <w10:wrap anchorx="page" anchory="page"/>
                  </v:line>
                </w:pict>
              </mc:Fallback>
            </mc:AlternateContent>
          </w:r>
          <w:r w:rsidR="003F398A" w:rsidRPr="003F398A">
            <w:rPr>
              <w:rFonts w:ascii="Arial" w:hAnsi="Arial" w:cs="Arial"/>
              <w:kern w:val="6"/>
              <w:sz w:val="15"/>
              <w:szCs w:val="15"/>
            </w:rPr>
            <w:t>https://cre.mit.edu</w:t>
          </w:r>
          <w:r w:rsidR="003F398A">
            <w:rPr>
              <w:rFonts w:ascii="Arial" w:hAnsi="Arial" w:cs="Arial"/>
              <w:kern w:val="6"/>
              <w:sz w:val="15"/>
              <w:szCs w:val="15"/>
            </w:rPr>
            <w:t>/</w:t>
          </w:r>
        </w:p>
      </w:tc>
      <w:tc>
        <w:tcPr>
          <w:tcW w:w="1911" w:type="dxa"/>
          <w:vMerge w:val="restart"/>
        </w:tcPr>
        <w:p w14:paraId="4C885C82" w14:textId="77777777" w:rsidR="003F398A" w:rsidRDefault="003F398A" w:rsidP="003F398A">
          <w:pPr>
            <w:pStyle w:val="logo"/>
            <w:ind w:left="0"/>
            <w:rPr>
              <w:kern w:val="6"/>
            </w:rPr>
          </w:pPr>
          <w:r>
            <w:rPr>
              <w:kern w:val="6"/>
            </w:rPr>
            <w:drawing>
              <wp:anchor distT="0" distB="0" distL="114300" distR="114300" simplePos="0" relativeHeight="251660288" behindDoc="0" locked="1" layoutInCell="1" allowOverlap="0" wp14:anchorId="29399FDE" wp14:editId="22B6C132">
                <wp:simplePos x="0" y="0"/>
                <wp:positionH relativeFrom="page">
                  <wp:posOffset>320040</wp:posOffset>
                </wp:positionH>
                <wp:positionV relativeFrom="page">
                  <wp:posOffset>27305</wp:posOffset>
                </wp:positionV>
                <wp:extent cx="584200" cy="304800"/>
                <wp:effectExtent l="0" t="0" r="0" b="0"/>
                <wp:wrapNone/>
                <wp:docPr id="7" name="Picture 7" descr=":MIT_red/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_red/g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1CF27" w14:textId="6A5B9897" w:rsidR="003F398A" w:rsidRDefault="003F398A" w:rsidP="003F398A">
          <w:pPr>
            <w:pStyle w:val="logo"/>
            <w:ind w:left="0"/>
            <w:rPr>
              <w:rFonts w:ascii="Times New Roman" w:hAnsi="Times New Roman"/>
              <w:kern w:val="6"/>
              <w:sz w:val="16"/>
            </w:rPr>
          </w:pPr>
        </w:p>
      </w:tc>
      <w:tc>
        <w:tcPr>
          <w:tcW w:w="4157" w:type="dxa"/>
          <w:tcBorders>
            <w:bottom w:val="nil"/>
          </w:tcBorders>
        </w:tcPr>
        <w:p w14:paraId="2B84E289" w14:textId="77777777" w:rsidR="003F398A" w:rsidRDefault="003F398A" w:rsidP="003F398A">
          <w:pPr>
            <w:pStyle w:val="75blkA20192"/>
            <w:rPr>
              <w:kern w:val="6"/>
            </w:rPr>
          </w:pPr>
          <w:r>
            <w:rPr>
              <w:kern w:val="6"/>
            </w:rPr>
            <w:t>Massachusetts Institute of Technology</w:t>
          </w:r>
        </w:p>
        <w:p w14:paraId="23F373AB" w14:textId="77777777" w:rsidR="003F398A" w:rsidRDefault="003F398A" w:rsidP="003F398A">
          <w:pPr>
            <w:pStyle w:val="address"/>
            <w:rPr>
              <w:kern w:val="6"/>
            </w:rPr>
          </w:pPr>
          <w:r>
            <w:rPr>
              <w:kern w:val="6"/>
            </w:rPr>
            <w:t>77 Massachusetts Avenue, Building X00–000</w:t>
          </w:r>
        </w:p>
        <w:p w14:paraId="4DA92F0D" w14:textId="77777777" w:rsidR="003F398A" w:rsidRDefault="003F398A" w:rsidP="003F398A">
          <w:pPr>
            <w:pStyle w:val="address"/>
            <w:rPr>
              <w:kern w:val="6"/>
            </w:rPr>
          </w:pPr>
          <w:r>
            <w:rPr>
              <w:kern w:val="6"/>
            </w:rPr>
            <w:t>Cambridge, Massachusetts 02139–4307</w:t>
          </w:r>
        </w:p>
      </w:tc>
    </w:tr>
    <w:tr w:rsidR="003F398A" w14:paraId="710A1DE3" w14:textId="77777777" w:rsidTr="000E2368">
      <w:trPr>
        <w:trHeight w:val="306"/>
      </w:trPr>
      <w:tc>
        <w:tcPr>
          <w:tcW w:w="4181" w:type="dxa"/>
          <w:vMerge/>
        </w:tcPr>
        <w:p w14:paraId="167B5028" w14:textId="77777777" w:rsidR="003F398A" w:rsidRDefault="003F398A" w:rsidP="003F398A">
          <w:pPr>
            <w:pStyle w:val="Header"/>
            <w:jc w:val="center"/>
            <w:rPr>
              <w:kern w:val="6"/>
              <w:sz w:val="16"/>
            </w:rPr>
          </w:pPr>
        </w:p>
      </w:tc>
      <w:tc>
        <w:tcPr>
          <w:tcW w:w="1911" w:type="dxa"/>
          <w:vMerge/>
        </w:tcPr>
        <w:p w14:paraId="13BED019" w14:textId="77777777" w:rsidR="003F398A" w:rsidRDefault="003F398A" w:rsidP="003F398A">
          <w:pPr>
            <w:pStyle w:val="Header"/>
            <w:jc w:val="center"/>
            <w:rPr>
              <w:kern w:val="6"/>
              <w:sz w:val="16"/>
            </w:rPr>
          </w:pPr>
        </w:p>
      </w:tc>
      <w:tc>
        <w:tcPr>
          <w:tcW w:w="4157" w:type="dxa"/>
        </w:tcPr>
        <w:p w14:paraId="1A420016" w14:textId="1668DB40" w:rsidR="003F398A" w:rsidRDefault="003F398A" w:rsidP="003F398A">
          <w:pPr>
            <w:pStyle w:val="Header"/>
            <w:rPr>
              <w:kern w:val="6"/>
            </w:rPr>
          </w:pPr>
        </w:p>
      </w:tc>
    </w:tr>
  </w:tbl>
  <w:p w14:paraId="69E244D3" w14:textId="5384826F" w:rsidR="00A40A5A" w:rsidRDefault="00A40A5A" w:rsidP="000E2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559F3"/>
    <w:multiLevelType w:val="hybridMultilevel"/>
    <w:tmpl w:val="362A5A4E"/>
    <w:lvl w:ilvl="0" w:tplc="E320E6D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E26B7"/>
    <w:multiLevelType w:val="hybridMultilevel"/>
    <w:tmpl w:val="80C8E146"/>
    <w:numStyleLink w:val="BulletBig"/>
  </w:abstractNum>
  <w:abstractNum w:abstractNumId="2" w15:restartNumberingAfterBreak="0">
    <w:nsid w:val="5DBE0270"/>
    <w:multiLevelType w:val="hybridMultilevel"/>
    <w:tmpl w:val="80C8E146"/>
    <w:styleLink w:val="BulletBig"/>
    <w:lvl w:ilvl="0" w:tplc="E7344BB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EF3C7E5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E5381E5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F6884BE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B382EEB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48F445A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9FEC9D7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5CB8774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2AB60EC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16cid:durableId="855921778">
    <w:abstractNumId w:val="2"/>
  </w:num>
  <w:num w:numId="2" w16cid:durableId="1991135508">
    <w:abstractNumId w:val="1"/>
  </w:num>
  <w:num w:numId="3" w16cid:durableId="142248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5A"/>
    <w:rsid w:val="000E2368"/>
    <w:rsid w:val="002255B7"/>
    <w:rsid w:val="00260EAD"/>
    <w:rsid w:val="002931C6"/>
    <w:rsid w:val="003F398A"/>
    <w:rsid w:val="006446E9"/>
    <w:rsid w:val="007F614B"/>
    <w:rsid w:val="008C2153"/>
    <w:rsid w:val="00935CA3"/>
    <w:rsid w:val="00A40A5A"/>
    <w:rsid w:val="00A71A42"/>
    <w:rsid w:val="00B920E2"/>
    <w:rsid w:val="00EB44AE"/>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830DE13"/>
  <w15:docId w15:val="{FE2B86B4-671B-CB45-A3EC-D0C985EA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SG"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character" w:customStyle="1" w:styleId="Hyperlink1">
    <w:name w:val="Hyperlink.1"/>
    <w:basedOn w:val="Hyperlink0"/>
    <w:rPr>
      <w:b/>
      <w:bCs/>
      <w:i/>
      <w:iCs/>
      <w:u w:val="single"/>
    </w:rPr>
  </w:style>
  <w:style w:type="character" w:customStyle="1" w:styleId="Hyperlink2">
    <w:name w:val="Hyperlink.2"/>
    <w:basedOn w:val="Hyperlink0"/>
    <w:rPr>
      <w:b/>
      <w:bCs/>
      <w:u w:val="single"/>
    </w:rPr>
  </w:style>
  <w:style w:type="paragraph" w:styleId="Header">
    <w:name w:val="header"/>
    <w:basedOn w:val="Normal"/>
    <w:link w:val="HeaderChar"/>
    <w:unhideWhenUsed/>
    <w:rsid w:val="003F398A"/>
    <w:pPr>
      <w:tabs>
        <w:tab w:val="center" w:pos="4513"/>
        <w:tab w:val="right" w:pos="9026"/>
      </w:tabs>
    </w:pPr>
  </w:style>
  <w:style w:type="character" w:customStyle="1" w:styleId="HeaderChar">
    <w:name w:val="Header Char"/>
    <w:basedOn w:val="DefaultParagraphFont"/>
    <w:link w:val="Header"/>
    <w:uiPriority w:val="99"/>
    <w:rsid w:val="003F398A"/>
    <w:rPr>
      <w:sz w:val="24"/>
      <w:szCs w:val="24"/>
      <w:lang w:val="en-US" w:eastAsia="en-US"/>
    </w:rPr>
  </w:style>
  <w:style w:type="paragraph" w:styleId="Footer">
    <w:name w:val="footer"/>
    <w:basedOn w:val="Normal"/>
    <w:link w:val="FooterChar"/>
    <w:uiPriority w:val="99"/>
    <w:unhideWhenUsed/>
    <w:rsid w:val="003F398A"/>
    <w:pPr>
      <w:tabs>
        <w:tab w:val="center" w:pos="4513"/>
        <w:tab w:val="right" w:pos="9026"/>
      </w:tabs>
    </w:pPr>
  </w:style>
  <w:style w:type="character" w:customStyle="1" w:styleId="FooterChar">
    <w:name w:val="Footer Char"/>
    <w:basedOn w:val="DefaultParagraphFont"/>
    <w:link w:val="Footer"/>
    <w:uiPriority w:val="99"/>
    <w:rsid w:val="003F398A"/>
    <w:rPr>
      <w:sz w:val="24"/>
      <w:szCs w:val="24"/>
      <w:lang w:val="en-US" w:eastAsia="en-US"/>
    </w:rPr>
  </w:style>
  <w:style w:type="paragraph" w:customStyle="1" w:styleId="75blkA92">
    <w:name w:val="7.5 blk A/9.2"/>
    <w:basedOn w:val="Footer"/>
    <w:rsid w:val="003F398A"/>
    <w:p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s>
    </w:pPr>
    <w:rPr>
      <w:rFonts w:ascii="Arial Black" w:eastAsia="Times New Roman" w:hAnsi="Arial Black"/>
      <w:noProof/>
      <w:sz w:val="15"/>
      <w:szCs w:val="20"/>
      <w:bdr w:val="none" w:sz="0" w:space="0" w:color="auto"/>
    </w:rPr>
  </w:style>
  <w:style w:type="paragraph" w:customStyle="1" w:styleId="75blkA20192">
    <w:name w:val="7.5 blk A/201/9.2"/>
    <w:basedOn w:val="Footer"/>
    <w:rsid w:val="003F398A"/>
    <w:p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s>
      <w:spacing w:line="184" w:lineRule="exact"/>
    </w:pPr>
    <w:rPr>
      <w:rFonts w:ascii="Arial Black" w:eastAsia="Times New Roman" w:hAnsi="Arial Black"/>
      <w:noProof/>
      <w:color w:val="800000"/>
      <w:sz w:val="15"/>
      <w:szCs w:val="20"/>
      <w:bdr w:val="none" w:sz="0" w:space="0" w:color="auto"/>
    </w:rPr>
  </w:style>
  <w:style w:type="paragraph" w:customStyle="1" w:styleId="logo">
    <w:name w:val="logo"/>
    <w:basedOn w:val="Footer"/>
    <w:rsid w:val="003F398A"/>
    <w:p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s>
      <w:ind w:left="60"/>
      <w:jc w:val="center"/>
    </w:pPr>
    <w:rPr>
      <w:rFonts w:ascii="Courier" w:eastAsia="Times New Roman" w:hAnsi="Courier"/>
      <w:noProof/>
      <w:szCs w:val="20"/>
      <w:bdr w:val="none" w:sz="0" w:space="0" w:color="auto"/>
    </w:rPr>
  </w:style>
  <w:style w:type="paragraph" w:customStyle="1" w:styleId="address">
    <w:name w:val="address"/>
    <w:basedOn w:val="Footer"/>
    <w:rsid w:val="003F398A"/>
    <w:p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s>
      <w:spacing w:line="184" w:lineRule="exact"/>
    </w:pPr>
    <w:rPr>
      <w:rFonts w:ascii="Arial" w:eastAsia="Times New Roman" w:hAnsi="Arial"/>
      <w:noProof/>
      <w:sz w:val="15"/>
      <w:szCs w:val="20"/>
      <w:bdr w:val="none" w:sz="0" w:space="0" w:color="auto"/>
    </w:rPr>
  </w:style>
  <w:style w:type="character" w:styleId="Strong">
    <w:name w:val="Strong"/>
    <w:basedOn w:val="DefaultParagraphFont"/>
    <w:uiPriority w:val="22"/>
    <w:qFormat/>
    <w:rsid w:val="003F398A"/>
    <w:rPr>
      <w:b/>
      <w:bCs/>
    </w:rPr>
  </w:style>
  <w:style w:type="character" w:customStyle="1" w:styleId="apple-converted-space">
    <w:name w:val="apple-converted-space"/>
    <w:basedOn w:val="DefaultParagraphFont"/>
    <w:rsid w:val="003F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mit.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mit.edu/2022/mit-center-real-estate-launches-asia-real-estate-initiative-0307" TargetMode="External"/><Relationship Id="rId12" Type="http://schemas.openxmlformats.org/officeDocument/2006/relationships/hyperlink" Target="mailto:wcliao@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mi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forms/d/e/1FAIpQLScBBagReW2PZjzmrdVTQaomb3cDfEh0zXFpFASvyb5evOQ1tA/viewform?usp=sf_link" TargetMode="External"/><Relationship Id="rId4" Type="http://schemas.openxmlformats.org/officeDocument/2006/relationships/webSettings" Target="webSettings.xml"/><Relationship Id="rId9" Type="http://schemas.openxmlformats.org/officeDocument/2006/relationships/hyperlink" Target="https://www.tandfonline.com/journals/rjer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Wen-Chi Liao</cp:lastModifiedBy>
  <cp:revision>2</cp:revision>
  <cp:lastPrinted>2023-03-01T18:50:00Z</cp:lastPrinted>
  <dcterms:created xsi:type="dcterms:W3CDTF">2023-03-01T20:42:00Z</dcterms:created>
  <dcterms:modified xsi:type="dcterms:W3CDTF">2023-03-01T20:42:00Z</dcterms:modified>
</cp:coreProperties>
</file>